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4E09" w:rsidRPr="00C64DB5" w:rsidRDefault="008F4E09" w:rsidP="00C64DB5">
      <w:pPr>
        <w:pStyle w:val="Balk8"/>
        <w:keepNext/>
        <w:numPr>
          <w:ilvl w:val="0"/>
          <w:numId w:val="15"/>
        </w:numPr>
        <w:spacing w:after="120"/>
        <w:ind w:right="284"/>
        <w:rPr>
          <w:rFonts w:ascii="Tahoma" w:eastAsiaTheme="minorEastAsia" w:hAnsi="Tahoma" w:cs="Tahoma"/>
          <w:b/>
          <w:sz w:val="22"/>
          <w:szCs w:val="22"/>
          <w:lang w:eastAsia="en-US"/>
        </w:rPr>
      </w:pPr>
      <w:r w:rsidRPr="00C64DB5">
        <w:rPr>
          <w:rFonts w:ascii="Tahoma" w:eastAsiaTheme="minorEastAsia" w:hAnsi="Tahoma" w:cs="Tahoma"/>
          <w:b/>
          <w:sz w:val="22"/>
          <w:szCs w:val="22"/>
          <w:lang w:eastAsia="en-US"/>
        </w:rPr>
        <w:t>Amaç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 xml:space="preserve">Bu politika, </w:t>
      </w:r>
      <w:r>
        <w:rPr>
          <w:rFonts w:ascii="Tahoma" w:eastAsiaTheme="minorEastAsia" w:hAnsi="Tahoma" w:cs="Tahoma"/>
          <w:sz w:val="22"/>
          <w:szCs w:val="22"/>
          <w:lang w:eastAsia="en-US"/>
        </w:rPr>
        <w:t xml:space="preserve">Firmanın </w:t>
      </w: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 xml:space="preserve"> (Şirket) kişisel verilerin korunması ve işlenmesine ilişkin ilkelerini ve uygulamalarını belirler.</w:t>
      </w:r>
    </w:p>
    <w:p w:rsidR="008F4E09" w:rsidRPr="00C64DB5" w:rsidRDefault="008F4E09" w:rsidP="00C64DB5">
      <w:pPr>
        <w:pStyle w:val="Balk8"/>
        <w:keepNext/>
        <w:numPr>
          <w:ilvl w:val="0"/>
          <w:numId w:val="15"/>
        </w:numPr>
        <w:spacing w:after="120"/>
        <w:ind w:right="284"/>
        <w:rPr>
          <w:rFonts w:ascii="Tahoma" w:eastAsiaTheme="minorEastAsia" w:hAnsi="Tahoma" w:cs="Tahoma"/>
          <w:b/>
          <w:sz w:val="22"/>
          <w:szCs w:val="22"/>
          <w:lang w:eastAsia="en-US"/>
        </w:rPr>
      </w:pPr>
      <w:r w:rsidRPr="00C64DB5">
        <w:rPr>
          <w:rFonts w:ascii="Tahoma" w:eastAsiaTheme="minorEastAsia" w:hAnsi="Tahoma" w:cs="Tahoma"/>
          <w:b/>
          <w:sz w:val="22"/>
          <w:szCs w:val="22"/>
          <w:lang w:eastAsia="en-US"/>
        </w:rPr>
        <w:t>Kapsam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Bu politika, Şirket'in tüm faaliyetleri kapsamında işlenen kişisel verileri kapsar.</w:t>
      </w:r>
    </w:p>
    <w:p w:rsidR="008F4E09" w:rsidRPr="00C64DB5" w:rsidRDefault="008F4E09" w:rsidP="00C64DB5">
      <w:pPr>
        <w:pStyle w:val="Balk8"/>
        <w:keepNext/>
        <w:numPr>
          <w:ilvl w:val="0"/>
          <w:numId w:val="15"/>
        </w:numPr>
        <w:spacing w:after="120"/>
        <w:ind w:right="284"/>
        <w:rPr>
          <w:rFonts w:ascii="Tahoma" w:eastAsiaTheme="minorEastAsia" w:hAnsi="Tahoma" w:cs="Tahoma"/>
          <w:b/>
          <w:sz w:val="22"/>
          <w:szCs w:val="22"/>
          <w:lang w:eastAsia="en-US"/>
        </w:rPr>
      </w:pPr>
      <w:r w:rsidRPr="00C64DB5">
        <w:rPr>
          <w:rFonts w:ascii="Tahoma" w:eastAsiaTheme="minorEastAsia" w:hAnsi="Tahoma" w:cs="Tahoma"/>
          <w:b/>
          <w:sz w:val="22"/>
          <w:szCs w:val="22"/>
          <w:lang w:eastAsia="en-US"/>
        </w:rPr>
        <w:t>Temel İlkeler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Şirket, kişisel verilerin işlenmesinde aşağıdaki temel ilkelere uyar: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Hukuka ve dürüstlük kurallarına uygun olma: Kişisel veriler, hukuka ve dürüstlük kurallarına uygun olarak işlenir.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Doğruluk ve güncellik: Kişisel veriler, doğru ve güncel olarak tutulur.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Sınırlı olma: Kişisel veriler, belirlenen amaçlar doğrultusunda ve ölçülü olarak işlenir.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Amaç yokluğu halinde imha veya anonimleştirme: Kişisel veriler, işlenmesini gerektiren sebeplerin ortadan kalkması halinde silinir, yok edilir veya anonim hale getirilir.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İstisnalar dışında açık rıza alma: Kişisel veriler, ilgili kişinin açık rızası olmaksızın işlenemez.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İlgili kişinin haklarının korunması: Kişisel veri sahiplerine, kişisel verileri hakkında bilgi edinme, düzeltme, silme, aktarma ve itiraz etme hakları tanınmıştır.</w:t>
      </w:r>
    </w:p>
    <w:p w:rsidR="008F4E09" w:rsidRPr="00C64DB5" w:rsidRDefault="008F4E09" w:rsidP="00C64DB5">
      <w:pPr>
        <w:pStyle w:val="Balk8"/>
        <w:keepNext/>
        <w:numPr>
          <w:ilvl w:val="0"/>
          <w:numId w:val="15"/>
        </w:numPr>
        <w:spacing w:after="120"/>
        <w:ind w:right="284"/>
        <w:rPr>
          <w:rFonts w:ascii="Tahoma" w:eastAsiaTheme="minorEastAsia" w:hAnsi="Tahoma" w:cs="Tahoma"/>
          <w:b/>
          <w:sz w:val="22"/>
          <w:szCs w:val="22"/>
          <w:lang w:eastAsia="en-US"/>
        </w:rPr>
      </w:pPr>
      <w:r w:rsidRPr="00C64DB5">
        <w:rPr>
          <w:rFonts w:ascii="Tahoma" w:eastAsiaTheme="minorEastAsia" w:hAnsi="Tahoma" w:cs="Tahoma"/>
          <w:b/>
          <w:sz w:val="22"/>
          <w:szCs w:val="22"/>
          <w:lang w:eastAsia="en-US"/>
        </w:rPr>
        <w:t>Kişisel Verilerin İşlenmesi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Şirket, kişisel verileri yalnızca hukuka uygun olarak işler. Kişisel veriler, aşağıdaki amaçlarla işlenebilir: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Şirket'in ticari faaliyetlerini yürütmek,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Şirket'in hizmetlerini sunmak,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Şirket'in müşteri ilişkilerini yönetmek,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Şirket'in insan kaynakları faaliyetlerini yürütmek,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Şirket'in hukuki yükümlülüklerini yerine getirmek,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Şirket'in menfaatlerini korumak.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Şirket, kişisel verileri işlendikleri amaç için gerekli olan süre kadar saklar.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</w:p>
    <w:p w:rsidR="008F4E09" w:rsidRPr="00C64DB5" w:rsidRDefault="008F4E09" w:rsidP="00C64DB5">
      <w:pPr>
        <w:pStyle w:val="Balk8"/>
        <w:keepNext/>
        <w:numPr>
          <w:ilvl w:val="0"/>
          <w:numId w:val="15"/>
        </w:numPr>
        <w:spacing w:after="120"/>
        <w:ind w:right="284"/>
        <w:rPr>
          <w:rFonts w:ascii="Tahoma" w:eastAsiaTheme="minorEastAsia" w:hAnsi="Tahoma" w:cs="Tahoma"/>
          <w:b/>
          <w:sz w:val="22"/>
          <w:szCs w:val="22"/>
          <w:lang w:eastAsia="en-US"/>
        </w:rPr>
      </w:pPr>
      <w:r w:rsidRPr="00C64DB5">
        <w:rPr>
          <w:rFonts w:ascii="Tahoma" w:eastAsiaTheme="minorEastAsia" w:hAnsi="Tahoma" w:cs="Tahoma"/>
          <w:b/>
          <w:sz w:val="22"/>
          <w:szCs w:val="22"/>
          <w:lang w:eastAsia="en-US"/>
        </w:rPr>
        <w:lastRenderedPageBreak/>
        <w:t>Kişisel Verilerin Aktarımı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Şirket, kişisel verileri üçüncü kişilere aktarabilir. Kişisel veriler, yalnızca hukuka uygun olarak aktarılabilir. Kişisel veriler, aşağıdaki amaçlarla üçüncü kişilere aktarılabilir: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Şirket'in ticari faaliyetlerini yürütmek için,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Şirket'in hizmetlerini sunmak için,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Şirket'in müşteri ilişkilerini yönetmek için,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Şirket'in insan kaynakları faaliyetlerini yürütmek için,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Şirket'in hukuki yükümlülüklerini yerine getirmek için,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Şirket'in menfaatlerini korumak için.</w:t>
      </w:r>
    </w:p>
    <w:p w:rsidR="008F4E09" w:rsidRPr="00C64DB5" w:rsidRDefault="008F4E09" w:rsidP="00C64DB5">
      <w:pPr>
        <w:pStyle w:val="Balk8"/>
        <w:keepNext/>
        <w:numPr>
          <w:ilvl w:val="0"/>
          <w:numId w:val="15"/>
        </w:numPr>
        <w:spacing w:after="120"/>
        <w:ind w:right="284"/>
        <w:rPr>
          <w:rFonts w:ascii="Tahoma" w:eastAsiaTheme="minorEastAsia" w:hAnsi="Tahoma" w:cs="Tahoma"/>
          <w:b/>
          <w:sz w:val="22"/>
          <w:szCs w:val="22"/>
          <w:lang w:eastAsia="en-US"/>
        </w:rPr>
      </w:pPr>
      <w:r w:rsidRPr="00C64DB5">
        <w:rPr>
          <w:rFonts w:ascii="Tahoma" w:eastAsiaTheme="minorEastAsia" w:hAnsi="Tahoma" w:cs="Tahoma"/>
          <w:b/>
          <w:sz w:val="22"/>
          <w:szCs w:val="22"/>
          <w:lang w:eastAsia="en-US"/>
        </w:rPr>
        <w:t>Kişisel Verilerin Korunması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Şirket, kişisel verilerin korunması için gerekli teknik ve idari önlemleri alır. Kişisel verilerin korunması için alınan önlemler, aşağıdakileri kapsar: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Erişim kontrollerinin uygulanması,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Veri güvenliğinin sağlanması,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Verilerin gizliliğinin korunması,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Verilerin hukuka aykırı olarak işlenmesinin önlenmesi.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Kişisel Veri Sahibinin Hakları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Kişisel veri sahipleri, kişisel verilerine ilişkin aşağıdaki haklara sahiptir: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Kişisel verilerinin işlenip işlenmediğini öğrenme,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Kişisel verileri işlenmişse buna ilişkin bilgi talep etme,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Kişisel verilerinin işlenme amacını ve amacına uygun kullanılıp kullanılmadığını öğrenme,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Kişisel verilerinin yurt içinde veya yurt dışında aktarıldığı üçüncü kişileri bilme,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Kişisel verilerinin eksik veya yanlış işlenmiş olması halinde bunların düzeltilmesini isteme,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Kişisel verilerinin silinmesini veya yok edilmesini isteme,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Kişisel verilerinin işlenmesini sınırlandırma isteme,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Kişisel verilerinin işlenmesine itiraz etme,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lastRenderedPageBreak/>
        <w:t>Kişisel verilerinin kanuna aykırı olarak işlenmesi sebebiyle zarara uğraması halinde zararın giderilmesini talep etme.</w:t>
      </w:r>
    </w:p>
    <w:p w:rsidR="008F4E09" w:rsidRPr="008F4E09" w:rsidRDefault="008F4E09" w:rsidP="008F4E09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Kişisel veri sahipleri, bu haklarını Şirket'e yazılı olarak veya kayıtlı elektronik posta adresine e-posta göndererek iletebilirler.</w:t>
      </w:r>
    </w:p>
    <w:p w:rsidR="008F4E09" w:rsidRPr="00C64DB5" w:rsidRDefault="008F4E09" w:rsidP="00C64DB5">
      <w:pPr>
        <w:pStyle w:val="Balk8"/>
        <w:keepNext/>
        <w:numPr>
          <w:ilvl w:val="0"/>
          <w:numId w:val="15"/>
        </w:numPr>
        <w:spacing w:after="120"/>
        <w:ind w:right="284"/>
        <w:rPr>
          <w:rFonts w:ascii="Tahoma" w:eastAsiaTheme="minorEastAsia" w:hAnsi="Tahoma" w:cs="Tahoma"/>
          <w:b/>
          <w:sz w:val="22"/>
          <w:szCs w:val="22"/>
          <w:lang w:eastAsia="en-US"/>
        </w:rPr>
      </w:pPr>
      <w:r w:rsidRPr="00C64DB5">
        <w:rPr>
          <w:rFonts w:ascii="Tahoma" w:eastAsiaTheme="minorEastAsia" w:hAnsi="Tahoma" w:cs="Tahoma"/>
          <w:b/>
          <w:sz w:val="22"/>
          <w:szCs w:val="22"/>
          <w:lang w:eastAsia="en-US"/>
        </w:rPr>
        <w:t>Değişiklikler</w:t>
      </w:r>
    </w:p>
    <w:p w:rsidR="00CB12CE" w:rsidRPr="00CB12CE" w:rsidRDefault="008F4E09" w:rsidP="008F4E09">
      <w:pPr>
        <w:pStyle w:val="Balk8"/>
        <w:keepNext/>
        <w:spacing w:after="120" w:afterAutospacing="0"/>
        <w:ind w:right="284"/>
        <w:rPr>
          <w:rFonts w:ascii="Tahoma" w:hAnsi="Tahoma" w:cs="Tahoma"/>
          <w:color w:val="000000"/>
          <w:sz w:val="22"/>
          <w:szCs w:val="32"/>
        </w:rPr>
      </w:pPr>
      <w:r w:rsidRPr="008F4E09">
        <w:rPr>
          <w:rFonts w:ascii="Tahoma" w:eastAsiaTheme="minorEastAsia" w:hAnsi="Tahoma" w:cs="Tahoma"/>
          <w:sz w:val="22"/>
          <w:szCs w:val="22"/>
          <w:lang w:eastAsia="en-US"/>
        </w:rPr>
        <w:t>Bu politika, Şirket'in ihtiyaç duyması halinde değiştirilebilir. Politikada yapılacak değişiklikler, Şirket'in web sitesinde yayınlanarak ilgililere duyurulur.</w:t>
      </w:r>
    </w:p>
    <w:p w:rsidR="00CB12CE" w:rsidRDefault="00CB12CE" w:rsidP="00CB12CE">
      <w:pPr>
        <w:spacing w:line="360" w:lineRule="auto"/>
        <w:jc w:val="right"/>
        <w:rPr>
          <w:rStyle w:val="Gl"/>
          <w:rFonts w:ascii="Tahoma" w:hAnsi="Tahoma" w:cs="Tahoma"/>
        </w:rPr>
      </w:pPr>
    </w:p>
    <w:p w:rsidR="00947742" w:rsidRDefault="00FF05FB" w:rsidP="00947742">
      <w:pPr>
        <w:spacing w:line="360" w:lineRule="auto"/>
        <w:jc w:val="right"/>
        <w:rPr>
          <w:rStyle w:val="Gl"/>
          <w:rFonts w:ascii="Tahoma" w:hAnsi="Tahoma" w:cs="Tahoma"/>
        </w:rPr>
      </w:pPr>
      <w:r>
        <w:rPr>
          <w:rStyle w:val="Gl"/>
          <w:rFonts w:ascii="Tahoma" w:hAnsi="Tahoma" w:cs="Tahoma"/>
        </w:rPr>
        <w:t>EKS-PA BİLGİSAYAR PAZARLAMA VE TİCARET ANONİM ŞİRKETİ</w:t>
      </w:r>
    </w:p>
    <w:p w:rsidR="00947742" w:rsidRDefault="00FF05FB" w:rsidP="00947742">
      <w:pPr>
        <w:spacing w:line="360" w:lineRule="auto"/>
        <w:jc w:val="right"/>
        <w:rPr>
          <w:rStyle w:val="Gl"/>
          <w:rFonts w:ascii="Tahoma" w:hAnsi="Tahoma" w:cs="Tahoma"/>
        </w:rPr>
      </w:pPr>
      <w:r>
        <w:rPr>
          <w:rFonts w:ascii="Tahoma" w:hAnsi="Tahoma" w:cs="Tahoma"/>
          <w:b/>
          <w:color w:val="000000"/>
        </w:rPr>
        <w:t>AHMET ACAR</w:t>
      </w:r>
      <w:r w:rsidR="00947742">
        <w:rPr>
          <w:rFonts w:ascii="Tahoma" w:hAnsi="Tahoma" w:cs="Tahoma"/>
          <w:b/>
          <w:color w:val="000000"/>
        </w:rPr>
        <w:br/>
      </w:r>
      <w:r w:rsidR="00947742" w:rsidRPr="00C04A59">
        <w:rPr>
          <w:rFonts w:ascii="Tahoma" w:hAnsi="Tahoma" w:cs="Tahoma"/>
          <w:b/>
          <w:color w:val="000000"/>
        </w:rPr>
        <w:t>Genel Müdür</w:t>
      </w:r>
    </w:p>
    <w:p w:rsidR="00CB12CE" w:rsidRDefault="005E5DB7" w:rsidP="005E5DB7">
      <w:pPr>
        <w:pStyle w:val="Balk8"/>
        <w:keepNext/>
        <w:spacing w:after="120" w:afterAutospacing="0" w:line="360" w:lineRule="auto"/>
        <w:ind w:left="720" w:right="284"/>
        <w:rPr>
          <w:rFonts w:ascii="Symbol" w:hAnsi="Symbol"/>
          <w:color w:val="000000"/>
          <w:sz w:val="32"/>
          <w:szCs w:val="32"/>
        </w:rPr>
      </w:pP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</w:p>
    <w:sectPr w:rsidR="00CB12CE" w:rsidSect="00626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0FA5" w:rsidRDefault="00A50FA5" w:rsidP="008664D4">
      <w:pPr>
        <w:spacing w:after="0" w:line="240" w:lineRule="auto"/>
      </w:pPr>
      <w:r>
        <w:separator/>
      </w:r>
    </w:p>
  </w:endnote>
  <w:endnote w:type="continuationSeparator" w:id="0">
    <w:p w:rsidR="00A50FA5" w:rsidRDefault="00A50FA5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3C3" w:rsidRDefault="009863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3C3" w:rsidRDefault="009863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3C3" w:rsidRDefault="009863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0FA5" w:rsidRDefault="00A50FA5" w:rsidP="008664D4">
      <w:pPr>
        <w:spacing w:after="0" w:line="240" w:lineRule="auto"/>
      </w:pPr>
      <w:r>
        <w:separator/>
      </w:r>
    </w:p>
  </w:footnote>
  <w:footnote w:type="continuationSeparator" w:id="0">
    <w:p w:rsidR="00A50FA5" w:rsidRDefault="00A50FA5" w:rsidP="0086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3C3" w:rsidRDefault="009863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3"/>
      <w:gridCol w:w="4781"/>
      <w:gridCol w:w="1598"/>
      <w:gridCol w:w="1284"/>
    </w:tblGrid>
    <w:tr w:rsidR="005E5DB7" w:rsidRPr="005E5DB7" w:rsidTr="00AC36DA">
      <w:trPr>
        <w:trHeight w:val="244"/>
        <w:jc w:val="center"/>
      </w:trPr>
      <w:tc>
        <w:tcPr>
          <w:tcW w:w="2567" w:type="dxa"/>
          <w:vMerge w:val="restart"/>
          <w:shd w:val="clear" w:color="auto" w:fill="auto"/>
          <w:vAlign w:val="center"/>
        </w:tcPr>
        <w:p w:rsidR="005E5DB7" w:rsidRPr="005E5DB7" w:rsidRDefault="00FF05FB" w:rsidP="005E5DB7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  <w:t>EKS-PA</w:t>
          </w:r>
        </w:p>
      </w:tc>
      <w:tc>
        <w:tcPr>
          <w:tcW w:w="4821" w:type="dxa"/>
          <w:vMerge w:val="restart"/>
          <w:shd w:val="clear" w:color="auto" w:fill="auto"/>
          <w:vAlign w:val="center"/>
        </w:tcPr>
        <w:p w:rsidR="005E5DB7" w:rsidRPr="005E5DB7" w:rsidRDefault="008F4E09" w:rsidP="008F4E09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  <w:t>KİŞİSEL VERİLERİN KORUNMASI VE İŞLENMESİ POLİTİKASI</w:t>
          </w:r>
        </w:p>
      </w:tc>
      <w:tc>
        <w:tcPr>
          <w:tcW w:w="1606" w:type="dxa"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Dokuman No</w:t>
          </w:r>
        </w:p>
      </w:tc>
      <w:tc>
        <w:tcPr>
          <w:tcW w:w="1286" w:type="dxa"/>
          <w:shd w:val="clear" w:color="auto" w:fill="auto"/>
        </w:tcPr>
        <w:p w:rsidR="005E5DB7" w:rsidRPr="005E5DB7" w:rsidRDefault="00AF3C72" w:rsidP="001C3B35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POL.1</w:t>
          </w:r>
          <w:r w:rsidR="001C3B35"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4</w:t>
          </w:r>
        </w:p>
      </w:tc>
    </w:tr>
    <w:tr w:rsidR="005E5DB7" w:rsidRPr="005E5DB7" w:rsidTr="00AC36DA">
      <w:trPr>
        <w:trHeight w:val="263"/>
        <w:jc w:val="center"/>
      </w:trPr>
      <w:tc>
        <w:tcPr>
          <w:tcW w:w="2567" w:type="dxa"/>
          <w:vMerge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4821" w:type="dxa"/>
          <w:vMerge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1606" w:type="dxa"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Yayın Tarihi</w:t>
          </w:r>
        </w:p>
      </w:tc>
      <w:tc>
        <w:tcPr>
          <w:tcW w:w="1286" w:type="dxa"/>
          <w:shd w:val="clear" w:color="auto" w:fill="auto"/>
        </w:tcPr>
        <w:p w:rsidR="005E5DB7" w:rsidRPr="005E5DB7" w:rsidRDefault="00FF05FB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03.01.2024</w:t>
          </w:r>
        </w:p>
      </w:tc>
    </w:tr>
    <w:tr w:rsidR="005E5DB7" w:rsidRPr="005E5DB7" w:rsidTr="00AC36DA">
      <w:trPr>
        <w:trHeight w:val="254"/>
        <w:jc w:val="center"/>
      </w:trPr>
      <w:tc>
        <w:tcPr>
          <w:tcW w:w="2567" w:type="dxa"/>
          <w:vMerge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4821" w:type="dxa"/>
          <w:vMerge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1606" w:type="dxa"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proofErr w:type="spellStart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Rev</w:t>
          </w:r>
          <w:proofErr w:type="spellEnd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. No</w:t>
          </w:r>
        </w:p>
      </w:tc>
      <w:tc>
        <w:tcPr>
          <w:tcW w:w="1286" w:type="dxa"/>
          <w:shd w:val="clear" w:color="auto" w:fill="auto"/>
        </w:tcPr>
        <w:p w:rsidR="005E5DB7" w:rsidRPr="005E5DB7" w:rsidRDefault="00D9213D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00</w:t>
          </w:r>
        </w:p>
      </w:tc>
    </w:tr>
    <w:tr w:rsidR="005E5DB7" w:rsidRPr="005E5DB7" w:rsidTr="00AC36DA">
      <w:trPr>
        <w:trHeight w:val="263"/>
        <w:jc w:val="center"/>
      </w:trPr>
      <w:tc>
        <w:tcPr>
          <w:tcW w:w="2567" w:type="dxa"/>
          <w:vMerge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4821" w:type="dxa"/>
          <w:vMerge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1606" w:type="dxa"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proofErr w:type="spellStart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Rev</w:t>
          </w:r>
          <w:proofErr w:type="spellEnd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. Tarihi</w:t>
          </w:r>
        </w:p>
      </w:tc>
      <w:tc>
        <w:tcPr>
          <w:tcW w:w="1286" w:type="dxa"/>
          <w:shd w:val="clear" w:color="auto" w:fill="auto"/>
        </w:tcPr>
        <w:p w:rsidR="005E5DB7" w:rsidRPr="005E5DB7" w:rsidRDefault="00D9213D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--</w:t>
          </w:r>
        </w:p>
      </w:tc>
    </w:tr>
  </w:tbl>
  <w:p w:rsidR="00482D27" w:rsidRDefault="00482D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3C3" w:rsidRDefault="009863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38F3"/>
    <w:multiLevelType w:val="hybridMultilevel"/>
    <w:tmpl w:val="DF36B4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3720"/>
    <w:multiLevelType w:val="hybridMultilevel"/>
    <w:tmpl w:val="1B90B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6CCA"/>
    <w:multiLevelType w:val="hybridMultilevel"/>
    <w:tmpl w:val="911677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73D8F"/>
    <w:multiLevelType w:val="hybridMultilevel"/>
    <w:tmpl w:val="C0EE06B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2B61CA"/>
    <w:multiLevelType w:val="hybridMultilevel"/>
    <w:tmpl w:val="9934D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A2AE3"/>
    <w:multiLevelType w:val="hybridMultilevel"/>
    <w:tmpl w:val="E892B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D63BA"/>
    <w:multiLevelType w:val="hybridMultilevel"/>
    <w:tmpl w:val="2BE0B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55383"/>
    <w:multiLevelType w:val="hybridMultilevel"/>
    <w:tmpl w:val="FC607C64"/>
    <w:lvl w:ilvl="0" w:tplc="041F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3FE706E"/>
    <w:multiLevelType w:val="hybridMultilevel"/>
    <w:tmpl w:val="F94A2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61330"/>
    <w:multiLevelType w:val="hybridMultilevel"/>
    <w:tmpl w:val="7E02B212"/>
    <w:lvl w:ilvl="0" w:tplc="041F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55E339AD"/>
    <w:multiLevelType w:val="hybridMultilevel"/>
    <w:tmpl w:val="C982F60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186C32"/>
    <w:multiLevelType w:val="hybridMultilevel"/>
    <w:tmpl w:val="F600DE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0D1A6">
      <w:numFmt w:val="bullet"/>
      <w:lvlText w:val=""/>
      <w:lvlJc w:val="left"/>
      <w:pPr>
        <w:ind w:left="1785" w:hanging="705"/>
      </w:pPr>
      <w:rPr>
        <w:rFonts w:ascii="Symbol" w:eastAsia="Calibri" w:hAnsi="Symbol" w:cs="Tahoma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E2412"/>
    <w:multiLevelType w:val="hybridMultilevel"/>
    <w:tmpl w:val="19844E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80AAC"/>
    <w:multiLevelType w:val="hybridMultilevel"/>
    <w:tmpl w:val="4C8C11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375C2E"/>
    <w:multiLevelType w:val="hybridMultilevel"/>
    <w:tmpl w:val="E66C799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495900">
    <w:abstractNumId w:val="4"/>
  </w:num>
  <w:num w:numId="2" w16cid:durableId="8870960">
    <w:abstractNumId w:val="0"/>
  </w:num>
  <w:num w:numId="3" w16cid:durableId="1023747698">
    <w:abstractNumId w:val="6"/>
  </w:num>
  <w:num w:numId="4" w16cid:durableId="1609315967">
    <w:abstractNumId w:val="5"/>
  </w:num>
  <w:num w:numId="5" w16cid:durableId="46035234">
    <w:abstractNumId w:val="1"/>
  </w:num>
  <w:num w:numId="6" w16cid:durableId="1500848450">
    <w:abstractNumId w:val="11"/>
  </w:num>
  <w:num w:numId="7" w16cid:durableId="1180658788">
    <w:abstractNumId w:val="13"/>
  </w:num>
  <w:num w:numId="8" w16cid:durableId="256140622">
    <w:abstractNumId w:val="2"/>
  </w:num>
  <w:num w:numId="9" w16cid:durableId="390662648">
    <w:abstractNumId w:val="12"/>
  </w:num>
  <w:num w:numId="10" w16cid:durableId="734400178">
    <w:abstractNumId w:val="14"/>
  </w:num>
  <w:num w:numId="11" w16cid:durableId="26027448">
    <w:abstractNumId w:val="3"/>
  </w:num>
  <w:num w:numId="12" w16cid:durableId="322659381">
    <w:abstractNumId w:val="7"/>
  </w:num>
  <w:num w:numId="13" w16cid:durableId="411896572">
    <w:abstractNumId w:val="9"/>
  </w:num>
  <w:num w:numId="14" w16cid:durableId="2100059265">
    <w:abstractNumId w:val="10"/>
  </w:num>
  <w:num w:numId="15" w16cid:durableId="729311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4D4"/>
    <w:rsid w:val="000E5F07"/>
    <w:rsid w:val="000F1F21"/>
    <w:rsid w:val="001C3B35"/>
    <w:rsid w:val="001F5D97"/>
    <w:rsid w:val="00251500"/>
    <w:rsid w:val="0025392F"/>
    <w:rsid w:val="002C03BD"/>
    <w:rsid w:val="00354942"/>
    <w:rsid w:val="0039070D"/>
    <w:rsid w:val="00394733"/>
    <w:rsid w:val="003C1975"/>
    <w:rsid w:val="00482D27"/>
    <w:rsid w:val="004F74AD"/>
    <w:rsid w:val="005024E5"/>
    <w:rsid w:val="00511B26"/>
    <w:rsid w:val="00552532"/>
    <w:rsid w:val="005A2EF2"/>
    <w:rsid w:val="005E172B"/>
    <w:rsid w:val="005E5DB7"/>
    <w:rsid w:val="005F4207"/>
    <w:rsid w:val="0062602E"/>
    <w:rsid w:val="00666FB2"/>
    <w:rsid w:val="006C47F3"/>
    <w:rsid w:val="007C2FF1"/>
    <w:rsid w:val="00801DA7"/>
    <w:rsid w:val="00810A77"/>
    <w:rsid w:val="008304F5"/>
    <w:rsid w:val="008664D4"/>
    <w:rsid w:val="008940ED"/>
    <w:rsid w:val="008E3BCD"/>
    <w:rsid w:val="008F4E09"/>
    <w:rsid w:val="00911139"/>
    <w:rsid w:val="00935D82"/>
    <w:rsid w:val="009421ED"/>
    <w:rsid w:val="00947742"/>
    <w:rsid w:val="00976F21"/>
    <w:rsid w:val="009863C3"/>
    <w:rsid w:val="009C346F"/>
    <w:rsid w:val="00A50FA5"/>
    <w:rsid w:val="00AA55C3"/>
    <w:rsid w:val="00AE1458"/>
    <w:rsid w:val="00AE7731"/>
    <w:rsid w:val="00AF3C72"/>
    <w:rsid w:val="00B07162"/>
    <w:rsid w:val="00B072CC"/>
    <w:rsid w:val="00B93B84"/>
    <w:rsid w:val="00C041AA"/>
    <w:rsid w:val="00C33703"/>
    <w:rsid w:val="00C64DB5"/>
    <w:rsid w:val="00CA3032"/>
    <w:rsid w:val="00CB12CE"/>
    <w:rsid w:val="00CE26AF"/>
    <w:rsid w:val="00D9213D"/>
    <w:rsid w:val="00DB7215"/>
    <w:rsid w:val="00E846A0"/>
    <w:rsid w:val="00F75B04"/>
    <w:rsid w:val="00F96943"/>
    <w:rsid w:val="00FE5892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CE1D5-60EB-4EAC-985F-DF33A3CA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2E"/>
  </w:style>
  <w:style w:type="paragraph" w:styleId="Balk8">
    <w:name w:val="heading 8"/>
    <w:basedOn w:val="Normal"/>
    <w:link w:val="Balk8Char"/>
    <w:uiPriority w:val="9"/>
    <w:qFormat/>
    <w:rsid w:val="008664D4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uiPriority w:val="9"/>
    <w:rsid w:val="008664D4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64D4"/>
  </w:style>
  <w:style w:type="paragraph" w:styleId="AltBilgi">
    <w:name w:val="footer"/>
    <w:basedOn w:val="Normal"/>
    <w:link w:val="AltBilgiChar"/>
    <w:uiPriority w:val="99"/>
    <w:unhideWhenUsed/>
    <w:rsid w:val="008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64D4"/>
  </w:style>
  <w:style w:type="paragraph" w:styleId="ListeParagraf">
    <w:name w:val="List Paragraph"/>
    <w:basedOn w:val="Normal"/>
    <w:uiPriority w:val="34"/>
    <w:qFormat/>
    <w:rsid w:val="005E5DB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B1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0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407</Words>
  <Characters>3073</Characters>
  <Application>Microsoft Office Word</Application>
  <DocSecurity>0</DocSecurity>
  <Lines>65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</dc:creator>
  <cp:keywords/>
  <dc:description/>
  <cp:lastModifiedBy>User</cp:lastModifiedBy>
  <cp:revision>36</cp:revision>
  <dcterms:created xsi:type="dcterms:W3CDTF">2017-09-16T10:02:00Z</dcterms:created>
  <dcterms:modified xsi:type="dcterms:W3CDTF">2024-07-03T07:11:00Z</dcterms:modified>
  <cp:category/>
</cp:coreProperties>
</file>